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CC" w:rsidRPr="00AA0566" w:rsidRDefault="007F6AFF" w:rsidP="0079384B">
      <w:pPr>
        <w:jc w:val="both"/>
        <w:rPr>
          <w:b/>
        </w:rPr>
      </w:pPr>
      <w:bookmarkStart w:id="0" w:name="_GoBack"/>
      <w:bookmarkEnd w:id="0"/>
      <w:r w:rsidRPr="00AA0566">
        <w:rPr>
          <w:b/>
        </w:rPr>
        <w:t>Számlázási tájékoztató ME</w:t>
      </w:r>
    </w:p>
    <w:p w:rsidR="00D03362" w:rsidRDefault="00D03362" w:rsidP="0079384B">
      <w:pPr>
        <w:jc w:val="both"/>
      </w:pPr>
    </w:p>
    <w:p w:rsidR="00D03362" w:rsidRDefault="00D03362" w:rsidP="0079384B">
      <w:pPr>
        <w:jc w:val="both"/>
      </w:pPr>
      <w:r>
        <w:t>Tisztelt Hallgató!</w:t>
      </w:r>
    </w:p>
    <w:p w:rsidR="00986F2B" w:rsidRDefault="00986F2B" w:rsidP="0079384B">
      <w:pPr>
        <w:jc w:val="both"/>
      </w:pPr>
    </w:p>
    <w:p w:rsidR="00D03362" w:rsidRDefault="00D03362" w:rsidP="0079384B">
      <w:pPr>
        <w:jc w:val="both"/>
      </w:pPr>
      <w:r>
        <w:t xml:space="preserve">A Miskolci Egyetemen új gazdálkodási </w:t>
      </w:r>
      <w:r w:rsidR="00AA0566">
        <w:t>r</w:t>
      </w:r>
      <w:r>
        <w:t xml:space="preserve">endszer került bevezetésre, emiatt részben megváltozik a számlázási </w:t>
      </w:r>
      <w:r w:rsidR="00986F2B">
        <w:t>eljárás</w:t>
      </w:r>
      <w:r w:rsidR="00CC769B">
        <w:t>.</w:t>
      </w:r>
    </w:p>
    <w:p w:rsidR="00D03362" w:rsidRDefault="00D03362" w:rsidP="0079384B">
      <w:pPr>
        <w:jc w:val="both"/>
      </w:pPr>
      <w:r>
        <w:t>Ami változatlan</w:t>
      </w:r>
      <w:r w:rsidR="00986F2B">
        <w:t>, hogy</w:t>
      </w:r>
      <w:r>
        <w:t xml:space="preserve"> aki nem igényel külön számlát,</w:t>
      </w:r>
      <w:r w:rsidR="001B40C4">
        <w:t xml:space="preserve"> nem kér előre átutalásos számlát,</w:t>
      </w:r>
      <w:r>
        <w:t xml:space="preserve"> annak a </w:t>
      </w:r>
      <w:r w:rsidR="001B40C4">
        <w:t xml:space="preserve">teljesítés után a </w:t>
      </w:r>
      <w:r>
        <w:t>Neptun elektronikus számlát generál a saját nevére és címére.</w:t>
      </w:r>
    </w:p>
    <w:p w:rsidR="00986F2B" w:rsidRDefault="00986F2B" w:rsidP="0079384B">
      <w:pPr>
        <w:jc w:val="both"/>
      </w:pPr>
    </w:p>
    <w:p w:rsidR="00D03362" w:rsidRDefault="00D03362" w:rsidP="0079384B">
      <w:pPr>
        <w:jc w:val="both"/>
      </w:pPr>
      <w:r>
        <w:t xml:space="preserve">Aki más partner (magánszemély) vagy cég (szervezet) nevére szeretne számlát kérni, annak a </w:t>
      </w:r>
      <w:r w:rsidR="00AA0566" w:rsidRPr="00AA0566">
        <w:rPr>
          <w:b/>
          <w:color w:val="0066FF"/>
        </w:rPr>
        <w:t>Befizető felvitele</w:t>
      </w:r>
      <w:r w:rsidR="00AA0566">
        <w:t xml:space="preserve"> t</w:t>
      </w:r>
      <w:r>
        <w:t>ájékoztató szerint egy listából ki kell választania a megfelelő partnert vagy szervezetet, és saját magához rendelni (Pénzügyek/Beállítások menü), vagy ha nem találja, akkor a kötelező adatokkal újat kell felvinnie.</w:t>
      </w:r>
    </w:p>
    <w:p w:rsidR="001B40C4" w:rsidRDefault="001B40C4" w:rsidP="0079384B">
      <w:pPr>
        <w:jc w:val="both"/>
      </w:pPr>
    </w:p>
    <w:p w:rsidR="00560D8D" w:rsidRDefault="001B40C4" w:rsidP="0079384B">
      <w:pPr>
        <w:jc w:val="both"/>
      </w:pPr>
      <w:r w:rsidRPr="001B40C4">
        <w:t xml:space="preserve">Mindkét </w:t>
      </w:r>
      <w:r>
        <w:t xml:space="preserve">fenti </w:t>
      </w:r>
      <w:r w:rsidRPr="001B40C4">
        <w:t xml:space="preserve">esetben a GYŰJTŐSZÁMLÁT KELL HASZNÁLNI AZ EGYENLEG FELTÖLTÉSÉHEZ és a beérkezett összegből teljesíteni kell a kiírt tételt. </w:t>
      </w:r>
    </w:p>
    <w:p w:rsidR="00D03362" w:rsidRDefault="001B40C4" w:rsidP="0079384B">
      <w:pPr>
        <w:jc w:val="both"/>
      </w:pPr>
      <w:r w:rsidRPr="001B40C4">
        <w:t>(</w:t>
      </w:r>
      <w:r w:rsidR="00560D8D">
        <w:t xml:space="preserve">Budapest Bank </w:t>
      </w:r>
      <w:r w:rsidRPr="001B40C4">
        <w:t>Gyűjtőszámla:</w:t>
      </w:r>
      <w:r w:rsidR="00560D8D">
        <w:t xml:space="preserve"> </w:t>
      </w:r>
      <w:r w:rsidR="00560D8D">
        <w:rPr>
          <w:rFonts w:cstheme="minorHAnsi"/>
          <w:b/>
          <w:bCs/>
          <w:color w:val="000000"/>
          <w:lang w:val="en-GB"/>
        </w:rPr>
        <w:t>10102718-51382100-02005007</w:t>
      </w:r>
      <w:r w:rsidRPr="001B40C4">
        <w:t>)</w:t>
      </w:r>
    </w:p>
    <w:p w:rsidR="001B40C4" w:rsidRDefault="001B40C4" w:rsidP="0079384B">
      <w:pPr>
        <w:jc w:val="both"/>
      </w:pPr>
    </w:p>
    <w:p w:rsidR="00D03362" w:rsidRDefault="00D03362" w:rsidP="0079384B">
      <w:pPr>
        <w:jc w:val="both"/>
      </w:pPr>
      <w:r>
        <w:t xml:space="preserve">Aki </w:t>
      </w:r>
      <w:r w:rsidRPr="00986F2B">
        <w:rPr>
          <w:b/>
        </w:rPr>
        <w:t>átutalásos számlát kér</w:t>
      </w:r>
      <w:r>
        <w:t>,</w:t>
      </w:r>
      <w:r w:rsidR="001B40C4">
        <w:t xml:space="preserve"> saját maga vagy Befizetője számára, annak az </w:t>
      </w:r>
      <w:r w:rsidR="001B40C4" w:rsidRPr="001B40C4">
        <w:t xml:space="preserve">EGYETEM </w:t>
      </w:r>
      <w:r w:rsidR="00560D8D">
        <w:t xml:space="preserve">FŐSZÁMLÁJÁRA </w:t>
      </w:r>
      <w:r w:rsidR="001B40C4" w:rsidRPr="001B40C4">
        <w:t>KELL UTALNIA,</w:t>
      </w:r>
      <w:r w:rsidR="001B40C4">
        <w:t xml:space="preserve"> és az eddigiektől eltérően,</w:t>
      </w:r>
      <w:r>
        <w:t xml:space="preserve"> a következő módon kell eljárnia (a tájékoztató végén, röviden, pontokba foglalva is megtalálhatók a folyamat lépései):</w:t>
      </w:r>
    </w:p>
    <w:p w:rsidR="00986F2B" w:rsidRDefault="001B40C4" w:rsidP="0079384B">
      <w:pPr>
        <w:jc w:val="both"/>
      </w:pPr>
      <w:r w:rsidRPr="001B40C4">
        <w:t>(</w:t>
      </w:r>
      <w:r w:rsidR="00560D8D">
        <w:t>Budapest Bank számlaszám</w:t>
      </w:r>
      <w:r w:rsidRPr="001B40C4">
        <w:t>:</w:t>
      </w:r>
      <w:r w:rsidR="00560D8D">
        <w:t xml:space="preserve"> </w:t>
      </w:r>
      <w:r w:rsidR="00560D8D" w:rsidRPr="00560D8D">
        <w:rPr>
          <w:b/>
        </w:rPr>
        <w:t>10102718-51382100-01005004</w:t>
      </w:r>
      <w:r w:rsidRPr="001B40C4">
        <w:t>)</w:t>
      </w:r>
    </w:p>
    <w:p w:rsidR="001B40C4" w:rsidRDefault="001B40C4" w:rsidP="0079384B">
      <w:pPr>
        <w:jc w:val="both"/>
      </w:pPr>
    </w:p>
    <w:p w:rsidR="00D03362" w:rsidRDefault="00AA0566" w:rsidP="0079384B">
      <w:pPr>
        <w:jc w:val="both"/>
      </w:pPr>
      <w:r>
        <w:t>Az Aktív státuszú tételeket listázva a megfelelő tételnél a sorvé</w:t>
      </w:r>
      <w:r w:rsidR="00D140FC">
        <w:t xml:space="preserve">gi + jelre kattintva válassza a </w:t>
      </w:r>
      <w:r>
        <w:t xml:space="preserve">Befizetőt. </w:t>
      </w:r>
    </w:p>
    <w:p w:rsidR="001F1309" w:rsidRDefault="001F1309" w:rsidP="0079384B">
      <w:pPr>
        <w:jc w:val="both"/>
      </w:pPr>
      <w:r>
        <w:rPr>
          <w:noProof/>
          <w:lang w:eastAsia="hu-HU"/>
        </w:rPr>
        <w:drawing>
          <wp:inline distT="0" distB="0" distL="0" distR="0" wp14:anchorId="02EEB1E3" wp14:editId="2CA2BB6D">
            <wp:extent cx="4647537" cy="2394364"/>
            <wp:effectExtent l="0" t="0" r="127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324" t="22014"/>
                    <a:stretch/>
                  </pic:blipFill>
                  <pic:spPr bwMode="auto">
                    <a:xfrm>
                      <a:off x="0" y="0"/>
                      <a:ext cx="4647537" cy="2394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566" w:rsidRDefault="00AA0566" w:rsidP="0079384B">
      <w:pPr>
        <w:jc w:val="both"/>
      </w:pPr>
      <w:r>
        <w:t xml:space="preserve">A megjelenő ablakban válasszon a Beállításoknál felvitt adatoknak megfelelően Partnert vagy Szervezetet, majd kattintson a </w:t>
      </w:r>
      <w:r>
        <w:rPr>
          <w:noProof/>
          <w:lang w:eastAsia="hu-HU"/>
        </w:rPr>
        <w:drawing>
          <wp:inline distT="0" distB="0" distL="0" distR="0" wp14:anchorId="7FDF5485" wp14:editId="35BA821B">
            <wp:extent cx="160867" cy="118533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162" t="56900" r="44044" b="40260"/>
                    <a:stretch/>
                  </pic:blipFill>
                  <pic:spPr bwMode="auto">
                    <a:xfrm>
                      <a:off x="0" y="0"/>
                      <a:ext cx="160964" cy="11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gombra</w:t>
      </w:r>
    </w:p>
    <w:p w:rsidR="00AA0566" w:rsidRDefault="00AA0566">
      <w:r>
        <w:rPr>
          <w:noProof/>
          <w:lang w:eastAsia="hu-HU"/>
        </w:rPr>
        <w:lastRenderedPageBreak/>
        <w:drawing>
          <wp:inline distT="0" distB="0" distL="0" distR="0" wp14:anchorId="4A6CFC6C" wp14:editId="17EFE218">
            <wp:extent cx="2925233" cy="2548467"/>
            <wp:effectExtent l="0" t="0" r="889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044" t="24849" r="30147" b="14093"/>
                    <a:stretch/>
                  </pic:blipFill>
                  <pic:spPr bwMode="auto">
                    <a:xfrm>
                      <a:off x="0" y="0"/>
                      <a:ext cx="2926990" cy="254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566" w:rsidRDefault="00AA0566">
      <w:r>
        <w:t>A Kiválaszt-</w:t>
      </w:r>
      <w:proofErr w:type="spellStart"/>
      <w:r>
        <w:t>ra</w:t>
      </w:r>
      <w:proofErr w:type="spellEnd"/>
      <w:r>
        <w:t xml:space="preserve"> kattintva hozzárendelheti a befizetőt a tételhez.</w:t>
      </w:r>
    </w:p>
    <w:p w:rsidR="00AA0566" w:rsidRDefault="00AA0566">
      <w:pPr>
        <w:rPr>
          <w:noProof/>
          <w:lang w:eastAsia="hu-HU"/>
        </w:rPr>
      </w:pPr>
    </w:p>
    <w:p w:rsidR="00AA0566" w:rsidRDefault="00AA0566">
      <w:r>
        <w:rPr>
          <w:noProof/>
          <w:lang w:eastAsia="hu-HU"/>
        </w:rPr>
        <w:drawing>
          <wp:inline distT="0" distB="0" distL="0" distR="0" wp14:anchorId="7546EE58" wp14:editId="6B57D753">
            <wp:extent cx="3860800" cy="2095500"/>
            <wp:effectExtent l="0" t="0" r="635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734" t="30831" r="17207" b="18962"/>
                    <a:stretch/>
                  </pic:blipFill>
                  <pic:spPr bwMode="auto">
                    <a:xfrm>
                      <a:off x="0" y="0"/>
                      <a:ext cx="3863109" cy="2096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566" w:rsidRDefault="00AA0566" w:rsidP="00C7622C">
      <w:pPr>
        <w:jc w:val="both"/>
      </w:pPr>
    </w:p>
    <w:p w:rsidR="00C7622C" w:rsidRDefault="00C7622C" w:rsidP="00C7622C">
      <w:pPr>
        <w:jc w:val="both"/>
      </w:pPr>
      <w:r>
        <w:t>Ha az átutalásos számla miatt lejárna a fizetési határidő, és ez akadályozza a beiratkozást, tárgyfe</w:t>
      </w:r>
      <w:r w:rsidR="00986F2B">
        <w:t>lvételt, akkor a kari dékáni hivatal</w:t>
      </w:r>
      <w:r>
        <w:t>ban kell határidő hosszabbítást kérnie.</w:t>
      </w:r>
    </w:p>
    <w:p w:rsidR="00C7622C" w:rsidRDefault="00C7622C" w:rsidP="00C7622C">
      <w:pPr>
        <w:jc w:val="both"/>
      </w:pPr>
    </w:p>
    <w:p w:rsidR="00D03362" w:rsidRDefault="00D03362" w:rsidP="00C7622C">
      <w:pPr>
        <w:jc w:val="both"/>
      </w:pPr>
      <w:r>
        <w:t xml:space="preserve">Számla igény esetén a következő </w:t>
      </w:r>
      <w:r w:rsidR="00C7622C">
        <w:t>lépéseket kell elvégezni:</w:t>
      </w:r>
    </w:p>
    <w:p w:rsidR="00D03362" w:rsidRDefault="00C7622C" w:rsidP="00C7622C">
      <w:pPr>
        <w:jc w:val="both"/>
      </w:pPr>
      <w:r>
        <w:t xml:space="preserve">1. Saját Befizető felvétele (Pénzügyek/Beállítások) lásd: </w:t>
      </w:r>
      <w:r w:rsidRPr="00AA0566">
        <w:rPr>
          <w:b/>
          <w:color w:val="0066FF"/>
        </w:rPr>
        <w:t>Befizető felvitele</w:t>
      </w:r>
      <w:r w:rsidRPr="00C7622C">
        <w:rPr>
          <w:color w:val="000000" w:themeColor="text1"/>
        </w:rPr>
        <w:t xml:space="preserve"> dokumentum</w:t>
      </w:r>
      <w:r>
        <w:rPr>
          <w:color w:val="000000" w:themeColor="text1"/>
        </w:rPr>
        <w:t>.</w:t>
      </w:r>
    </w:p>
    <w:p w:rsidR="00D03362" w:rsidRDefault="00C7622C" w:rsidP="00C7622C">
      <w:pPr>
        <w:jc w:val="both"/>
      </w:pPr>
      <w:r>
        <w:t>2. Az Aktív tételhez Befizető hozzárendelése (+)</w:t>
      </w:r>
    </w:p>
    <w:p w:rsidR="00D03362" w:rsidRDefault="00C7622C" w:rsidP="00C7622C">
      <w:pPr>
        <w:jc w:val="both"/>
      </w:pPr>
      <w:r>
        <w:t xml:space="preserve">3. Átutalásos számla esetén </w:t>
      </w:r>
      <w:r w:rsidR="00D140FC">
        <w:t xml:space="preserve">(és csak ekkor) </w:t>
      </w:r>
      <w:r>
        <w:t xml:space="preserve">a Befizető hozzárendeléskor </w:t>
      </w:r>
      <w:r>
        <w:rPr>
          <w:noProof/>
          <w:lang w:eastAsia="hu-HU"/>
        </w:rPr>
        <w:drawing>
          <wp:inline distT="0" distB="0" distL="0" distR="0" wp14:anchorId="41ECE689" wp14:editId="3854E8DE">
            <wp:extent cx="948267" cy="122767"/>
            <wp:effectExtent l="0" t="0" r="444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323" t="63083" r="62206" b="33976"/>
                    <a:stretch/>
                  </pic:blipFill>
                  <pic:spPr bwMode="auto">
                    <a:xfrm>
                      <a:off x="0" y="0"/>
                      <a:ext cx="948838" cy="122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(befizetés előtt készül a számla)</w:t>
      </w:r>
    </w:p>
    <w:p w:rsidR="00C7622C" w:rsidRDefault="00C7622C" w:rsidP="00C7622C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4. Ha elegendő a befizetőnek az utólagos elektronikus számla, akkor nem kell a pipa, teljesítés után generálódik a számla </w:t>
      </w:r>
      <w:r w:rsidR="00F451A1">
        <w:rPr>
          <w:noProof/>
          <w:lang w:eastAsia="hu-HU"/>
        </w:rPr>
        <w:t xml:space="preserve">a </w:t>
      </w:r>
      <w:r>
        <w:rPr>
          <w:noProof/>
          <w:lang w:eastAsia="hu-HU"/>
        </w:rPr>
        <w:t>befizető nevére.</w:t>
      </w:r>
    </w:p>
    <w:p w:rsidR="00D03362" w:rsidRDefault="00C7622C" w:rsidP="00C7622C">
      <w:pPr>
        <w:jc w:val="both"/>
      </w:pPr>
      <w:r>
        <w:t>5. Ha nincs külön befizető megjelölve, a hallgató saját nevére generálódik a számla</w:t>
      </w:r>
    </w:p>
    <w:p w:rsidR="00C7622C" w:rsidRDefault="00C7622C" w:rsidP="00C7622C">
      <w:pPr>
        <w:jc w:val="both"/>
      </w:pPr>
      <w:r>
        <w:t>6. A számlák a Pénzügyek/Számlák menüből letölthetők.</w:t>
      </w:r>
    </w:p>
    <w:p w:rsidR="00C7622C" w:rsidRDefault="00C7622C" w:rsidP="00C7622C">
      <w:pPr>
        <w:jc w:val="both"/>
      </w:pPr>
      <w:r>
        <w:t>7. A</w:t>
      </w:r>
      <w:r w:rsidR="00F451A1">
        <w:t xml:space="preserve">z átutalásos számlához </w:t>
      </w:r>
      <w:r>
        <w:t>beérkezett összeg</w:t>
      </w:r>
      <w:r w:rsidR="00F451A1">
        <w:t xml:space="preserve"> - helyes közlemény esetén - automatikusan teljesíti a kiírt tételt.</w:t>
      </w:r>
    </w:p>
    <w:sectPr w:rsidR="00C7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FF"/>
    <w:rsid w:val="001B40C4"/>
    <w:rsid w:val="001F1309"/>
    <w:rsid w:val="00394ACC"/>
    <w:rsid w:val="003A1D8F"/>
    <w:rsid w:val="003B6243"/>
    <w:rsid w:val="00560D8D"/>
    <w:rsid w:val="005A38EC"/>
    <w:rsid w:val="0079384B"/>
    <w:rsid w:val="007F6AFF"/>
    <w:rsid w:val="00937726"/>
    <w:rsid w:val="00986F2B"/>
    <w:rsid w:val="00AA0566"/>
    <w:rsid w:val="00B13860"/>
    <w:rsid w:val="00B25FDD"/>
    <w:rsid w:val="00C7622C"/>
    <w:rsid w:val="00CC769B"/>
    <w:rsid w:val="00D03362"/>
    <w:rsid w:val="00D140FC"/>
    <w:rsid w:val="00D15D88"/>
    <w:rsid w:val="00DF6301"/>
    <w:rsid w:val="00F451A1"/>
    <w:rsid w:val="00F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E79AB-A08D-4A81-B216-6D2C7E4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A0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0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VargaLaci</dc:creator>
  <cp:lastModifiedBy>gkdh8</cp:lastModifiedBy>
  <cp:revision>2</cp:revision>
  <dcterms:created xsi:type="dcterms:W3CDTF">2021-02-01T11:30:00Z</dcterms:created>
  <dcterms:modified xsi:type="dcterms:W3CDTF">2021-02-01T11:30:00Z</dcterms:modified>
</cp:coreProperties>
</file>